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C0" w:rsidRDefault="00874AC0" w:rsidP="00BA3D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</w:t>
      </w:r>
      <w:r w:rsidR="00EE28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БЛОКЧЕЙН ТЕХНОЛОГИЙ ДЛЯ </w:t>
      </w:r>
      <w:r w:rsidR="00FF7242">
        <w:rPr>
          <w:rFonts w:ascii="Times New Roman" w:hAnsi="Times New Roman" w:cs="Times New Roman"/>
          <w:sz w:val="24"/>
          <w:szCs w:val="24"/>
        </w:rPr>
        <w:t>ИНВЕСТИРОВАНИЯ</w:t>
      </w:r>
      <w:r w:rsidR="00C15484">
        <w:rPr>
          <w:rFonts w:ascii="Times New Roman" w:hAnsi="Times New Roman" w:cs="Times New Roman"/>
          <w:sz w:val="24"/>
          <w:szCs w:val="24"/>
        </w:rPr>
        <w:t xml:space="preserve"> В НЕДРОПОЛЬЗОВАНИЕ</w:t>
      </w:r>
      <w:r w:rsidR="00FF7242">
        <w:rPr>
          <w:rFonts w:ascii="Times New Roman" w:hAnsi="Times New Roman" w:cs="Times New Roman"/>
          <w:sz w:val="24"/>
          <w:szCs w:val="24"/>
        </w:rPr>
        <w:t xml:space="preserve"> </w:t>
      </w:r>
      <w:r w:rsidR="00EE28BE">
        <w:rPr>
          <w:rFonts w:ascii="Times New Roman" w:hAnsi="Times New Roman" w:cs="Times New Roman"/>
          <w:sz w:val="24"/>
          <w:szCs w:val="24"/>
        </w:rPr>
        <w:t xml:space="preserve">РОССИЙСКИМИ </w:t>
      </w:r>
      <w:r w:rsidR="00064F67">
        <w:rPr>
          <w:rFonts w:ascii="Times New Roman" w:hAnsi="Times New Roman" w:cs="Times New Roman"/>
          <w:sz w:val="24"/>
          <w:szCs w:val="24"/>
        </w:rPr>
        <w:t>ЮНИОРН</w:t>
      </w:r>
      <w:r w:rsidR="00EE28BE">
        <w:rPr>
          <w:rFonts w:ascii="Times New Roman" w:hAnsi="Times New Roman" w:cs="Times New Roman"/>
          <w:sz w:val="24"/>
          <w:szCs w:val="24"/>
        </w:rPr>
        <w:t xml:space="preserve">ЫМИ </w:t>
      </w:r>
      <w:r w:rsidR="00064F67">
        <w:rPr>
          <w:rFonts w:ascii="Times New Roman" w:hAnsi="Times New Roman" w:cs="Times New Roman"/>
          <w:sz w:val="24"/>
          <w:szCs w:val="24"/>
        </w:rPr>
        <w:t>КОМПАНИ</w:t>
      </w:r>
      <w:r w:rsidR="00EE28BE">
        <w:rPr>
          <w:rFonts w:ascii="Times New Roman" w:hAnsi="Times New Roman" w:cs="Times New Roman"/>
          <w:sz w:val="24"/>
          <w:szCs w:val="24"/>
        </w:rPr>
        <w:t>ЯМИ</w:t>
      </w:r>
    </w:p>
    <w:p w:rsidR="004273BE" w:rsidRPr="005E37B7" w:rsidRDefault="00ED06DD" w:rsidP="00BA3D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7B7">
        <w:rPr>
          <w:rFonts w:ascii="Times New Roman" w:hAnsi="Times New Roman" w:cs="Times New Roman"/>
          <w:i/>
          <w:sz w:val="24"/>
          <w:szCs w:val="24"/>
        </w:rPr>
        <w:t xml:space="preserve">В.В. Рогальский главный геолог АО «Гео-Система», </w:t>
      </w:r>
    </w:p>
    <w:p w:rsidR="00ED06DD" w:rsidRPr="005E37B7" w:rsidRDefault="00ED06DD" w:rsidP="00BA3D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7B7">
        <w:rPr>
          <w:rFonts w:ascii="Times New Roman" w:hAnsi="Times New Roman" w:cs="Times New Roman"/>
          <w:i/>
          <w:sz w:val="24"/>
          <w:szCs w:val="24"/>
        </w:rPr>
        <w:t xml:space="preserve">кандидат геолого-минералогических наук, член ОЭРН </w:t>
      </w:r>
    </w:p>
    <w:p w:rsidR="004273BE" w:rsidRDefault="004273BE" w:rsidP="00BA3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Юниорными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компаниями горной отрасли как правило обеспечивается финансирование лишь начальных этапов освоения принадлежащих им объектов недропользования, включая: 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а) приобретение прав недропользования и землепользования; </w:t>
      </w:r>
    </w:p>
    <w:p w:rsid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bCs/>
          <w:sz w:val="24"/>
          <w:szCs w:val="24"/>
        </w:rPr>
        <w:t>б) п</w:t>
      </w:r>
      <w:r>
        <w:rPr>
          <w:rFonts w:ascii="Times New Roman" w:hAnsi="Times New Roman" w:cs="Times New Roman"/>
          <w:bCs/>
          <w:sz w:val="24"/>
          <w:szCs w:val="24"/>
        </w:rPr>
        <w:t>роведение поисково-оценочных и разведочных работ, инженерных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изысканий и 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технологических исследований; </w:t>
      </w:r>
    </w:p>
    <w:p w:rsid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в) подготовку Технических проектов разработки с получением разрешений на    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строительство предприятия, производство добычных работ и переработку минерального  </w:t>
      </w:r>
    </w:p>
    <w:p w:rsidR="00BA3D26" w:rsidRPr="00BA3D26" w:rsidRDefault="00BA3D26" w:rsidP="00811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сырья. </w:t>
      </w:r>
    </w:p>
    <w:p w:rsidR="00864E7D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В публикациях </w:t>
      </w:r>
      <w:r w:rsidR="00513086" w:rsidRPr="00BA3D26">
        <w:rPr>
          <w:rFonts w:ascii="Times New Roman" w:hAnsi="Times New Roman" w:cs="Times New Roman"/>
          <w:bCs/>
          <w:sz w:val="24"/>
          <w:szCs w:val="24"/>
        </w:rPr>
        <w:t xml:space="preserve">относительно деятельности </w:t>
      </w:r>
      <w:proofErr w:type="spellStart"/>
      <w:r w:rsidR="00513086" w:rsidRPr="00BA3D26">
        <w:rPr>
          <w:rFonts w:ascii="Times New Roman" w:hAnsi="Times New Roman" w:cs="Times New Roman"/>
          <w:bCs/>
          <w:sz w:val="24"/>
          <w:szCs w:val="24"/>
        </w:rPr>
        <w:t>юниорных</w:t>
      </w:r>
      <w:proofErr w:type="spellEnd"/>
      <w:r w:rsidR="00513086" w:rsidRPr="00BA3D26">
        <w:rPr>
          <w:rFonts w:ascii="Times New Roman" w:hAnsi="Times New Roman" w:cs="Times New Roman"/>
          <w:bCs/>
          <w:sz w:val="24"/>
          <w:szCs w:val="24"/>
        </w:rPr>
        <w:t xml:space="preserve"> компаний в России </w:t>
      </w:r>
      <w:r w:rsidR="00864E7D">
        <w:rPr>
          <w:rFonts w:ascii="Times New Roman" w:hAnsi="Times New Roman" w:cs="Times New Roman"/>
          <w:bCs/>
          <w:sz w:val="24"/>
          <w:szCs w:val="24"/>
        </w:rPr>
        <w:t>справедливо о</w:t>
      </w:r>
      <w:r w:rsidR="00513086" w:rsidRPr="00BA3D26">
        <w:rPr>
          <w:rFonts w:ascii="Times New Roman" w:hAnsi="Times New Roman" w:cs="Times New Roman"/>
          <w:bCs/>
          <w:sz w:val="24"/>
          <w:szCs w:val="24"/>
        </w:rPr>
        <w:t>тмечается</w:t>
      </w:r>
      <w:r w:rsidR="00864E7D">
        <w:rPr>
          <w:rFonts w:ascii="Times New Roman" w:hAnsi="Times New Roman" w:cs="Times New Roman"/>
          <w:bCs/>
          <w:sz w:val="24"/>
          <w:szCs w:val="24"/>
        </w:rPr>
        <w:t>:</w:t>
      </w:r>
    </w:p>
    <w:p w:rsidR="00864E7D" w:rsidRDefault="00864E7D" w:rsidP="00864E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Дармин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KOPY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GOLDFIELDS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E7D" w:rsidRDefault="00864E7D" w:rsidP="00864E7D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64E7D">
        <w:rPr>
          <w:rFonts w:ascii="Times New Roman" w:hAnsi="Times New Roman" w:cs="Times New Roman"/>
          <w:color w:val="000000"/>
          <w:sz w:val="24"/>
          <w:szCs w:val="24"/>
        </w:rPr>
        <w:t>По итогам последних 20 лет развития рынка в России, концепция юниорских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биржевых компаний </w:t>
      </w:r>
      <w:r w:rsidRPr="00864E7D">
        <w:rPr>
          <w:rFonts w:ascii="Times New Roman" w:hAnsi="Times New Roman" w:cs="Times New Roman"/>
          <w:bCs/>
          <w:color w:val="000000"/>
          <w:sz w:val="24"/>
          <w:szCs w:val="24"/>
        </w:rPr>
        <w:t>не получила развития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64E7D" w:rsidRDefault="00864E7D" w:rsidP="00864E7D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– Их количество пренебрежимо мало (5-10), стабильно и не растет (на слуху -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Kopy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Goldfields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E7D">
        <w:rPr>
          <w:rFonts w:ascii="Times New Roman" w:hAnsi="Times New Roman" w:cs="Times New Roman"/>
          <w:color w:val="000000"/>
          <w:sz w:val="24"/>
          <w:szCs w:val="24"/>
        </w:rPr>
        <w:t>(13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MUSD),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Auriant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Mining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(25 MUSD, есть добыча),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Eurasia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Mining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(9 MUSD),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4E7D">
        <w:rPr>
          <w:rFonts w:ascii="Times New Roman" w:hAnsi="Times New Roman" w:cs="Times New Roman"/>
          <w:color w:val="000000"/>
          <w:sz w:val="24"/>
          <w:szCs w:val="24"/>
        </w:rPr>
        <w:t>mur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Minerals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(31 MUSD),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Ovoca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Gold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(6 MUSD),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Silver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Bear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 (37 MUSD). Всего чуть более 100 млн долларов</w:t>
      </w:r>
    </w:p>
    <w:p w:rsidR="00864E7D" w:rsidRDefault="00864E7D" w:rsidP="00864E7D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E7D">
        <w:rPr>
          <w:rFonts w:ascii="Times New Roman" w:hAnsi="Times New Roman" w:cs="Times New Roman"/>
          <w:color w:val="000000"/>
          <w:sz w:val="24"/>
          <w:szCs w:val="24"/>
        </w:rPr>
        <w:t>– Не слышно знаковых успешных проектов у юниоров, знаковых сделок слияния и поглощения</w:t>
      </w:r>
      <w:r w:rsidRPr="00864E7D">
        <w:rPr>
          <w:rFonts w:ascii="Times New Roman" w:hAnsi="Times New Roman" w:cs="Times New Roman"/>
          <w:color w:val="000000"/>
          <w:sz w:val="24"/>
          <w:szCs w:val="24"/>
        </w:rPr>
        <w:br/>
        <w:t>– Являются по сути иностранными: торгуются и финансируются на зарубежном рынке</w:t>
      </w:r>
      <w:r w:rsidRPr="00864E7D">
        <w:rPr>
          <w:rFonts w:ascii="Times New Roman" w:hAnsi="Times New Roman" w:cs="Times New Roman"/>
          <w:color w:val="000000"/>
          <w:sz w:val="24"/>
          <w:szCs w:val="24"/>
        </w:rPr>
        <w:br/>
        <w:t>– Для отрасли в целом – не обеспечивают прироста запасов путем разбраковки и продвижения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4E7D">
        <w:rPr>
          <w:rFonts w:ascii="Times New Roman" w:hAnsi="Times New Roman" w:cs="Times New Roman"/>
          <w:color w:val="000000"/>
          <w:sz w:val="24"/>
          <w:szCs w:val="24"/>
        </w:rPr>
        <w:t xml:space="preserve">проектов от поисков к разведке и добыче (как организовано в Канаде, США, Австралии и </w:t>
      </w:r>
      <w:proofErr w:type="spellStart"/>
      <w:r w:rsidRPr="00864E7D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64E7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Карнилов</w:t>
      </w:r>
      <w:proofErr w:type="spellEnd"/>
      <w:r w:rsidR="00864E7D">
        <w:rPr>
          <w:rFonts w:ascii="Times New Roman" w:hAnsi="Times New Roman" w:cs="Times New Roman"/>
          <w:bCs/>
          <w:sz w:val="24"/>
          <w:szCs w:val="24"/>
        </w:rPr>
        <w:t xml:space="preserve"> М., </w:t>
      </w:r>
      <w:r w:rsidRPr="00BA3D26">
        <w:rPr>
          <w:rFonts w:ascii="Times New Roman" w:hAnsi="Times New Roman" w:cs="Times New Roman"/>
          <w:bCs/>
          <w:sz w:val="24"/>
          <w:szCs w:val="24"/>
        </w:rPr>
        <w:t>АРДЖЕЙСИ:</w:t>
      </w:r>
    </w:p>
    <w:p w:rsidR="00864E7D" w:rsidRPr="00BA3D26" w:rsidRDefault="00864E7D" w:rsidP="00811C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11CCA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рейтинге инвестиционной привлекательности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Россиия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доступности и удобству работы с геологичес</w:t>
      </w:r>
      <w:r w:rsidR="00811CCA">
        <w:rPr>
          <w:rFonts w:ascii="Times New Roman" w:hAnsi="Times New Roman" w:cs="Times New Roman"/>
          <w:bCs/>
          <w:sz w:val="24"/>
          <w:szCs w:val="24"/>
        </w:rPr>
        <w:t>кими фондами занимает последнее, по налоговому режиму – предпоследнее, а по регулированию прав пользования недрами и последовательности горной политики – 53 место в мире».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Акционерное общество «Гео-Система» (ГЕО-СИСТЕМА) представляет собой отечественную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юниорную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(только не прошедшую 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IPO</w:t>
      </w:r>
      <w:r w:rsidRPr="00BA3D26">
        <w:rPr>
          <w:rFonts w:ascii="Times New Roman" w:hAnsi="Times New Roman" w:cs="Times New Roman"/>
          <w:bCs/>
          <w:sz w:val="24"/>
          <w:szCs w:val="24"/>
        </w:rPr>
        <w:t>) компанию, которая вместе с группой аффилированных дочерних предприятий ОАО «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Майнэкс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ресорсес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>», ООО «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Сейбинский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рудник», ООО «Константиновский рудник», ООО «Георгиевский рудник», ООО «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Манская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горная компания», АО «Артемовский рудник» занимается освоением расположенных на юге Красноярского края </w:t>
      </w:r>
    </w:p>
    <w:p w:rsidR="00000000" w:rsidRPr="00BA3D26" w:rsidRDefault="00141853" w:rsidP="00BA3D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Лысогорского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золоторудного месторождения</w:t>
      </w:r>
    </w:p>
    <w:p w:rsidR="00000000" w:rsidRPr="00BA3D26" w:rsidRDefault="00141853" w:rsidP="00BA3D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Сейбинского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золоторудного  месторождения</w:t>
      </w:r>
    </w:p>
    <w:p w:rsidR="00000000" w:rsidRPr="00BA3D26" w:rsidRDefault="00141853" w:rsidP="00811CCA">
      <w:pPr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Кутурчинской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з</w:t>
      </w:r>
      <w:r w:rsidRPr="00BA3D26">
        <w:rPr>
          <w:rFonts w:ascii="Times New Roman" w:hAnsi="Times New Roman" w:cs="Times New Roman"/>
          <w:bCs/>
          <w:sz w:val="24"/>
          <w:szCs w:val="24"/>
        </w:rPr>
        <w:t>олотоперспективной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площади</w:t>
      </w:r>
      <w:r w:rsidR="00811CCA">
        <w:rPr>
          <w:rFonts w:ascii="Times New Roman" w:hAnsi="Times New Roman" w:cs="Times New Roman"/>
          <w:bCs/>
          <w:sz w:val="24"/>
          <w:szCs w:val="24"/>
        </w:rPr>
        <w:t>.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D26">
        <w:rPr>
          <w:rFonts w:ascii="Times New Roman" w:hAnsi="Times New Roman" w:cs="Times New Roman"/>
          <w:bCs/>
          <w:sz w:val="24"/>
          <w:szCs w:val="24"/>
          <w:u w:val="single"/>
        </w:rPr>
        <w:t>Лысогорское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месторождение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относится к золото-кварц-сульфидному жильному типу. На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госбалансе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числятся запасы золота категории С</w:t>
      </w:r>
      <w:r w:rsidRPr="00BA3D26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– 1,3 т. и категории С</w:t>
      </w:r>
      <w:r w:rsidRPr="00BA3D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– 5,2 т., при среднем содержании золота 9,5 г/т. По результатам проведенной в 2010-2017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доразведки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готовится отчет к утверждению в ФБУ «ГКЗ» запасов золота категории С</w:t>
      </w:r>
      <w:r w:rsidRPr="00BA3D26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– 1,3 т. и категории С</w:t>
      </w:r>
      <w:r w:rsidRPr="00BA3D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– 10,4 т. Месторождение вскрыто действующим с 1976 года и </w:t>
      </w:r>
      <w:r w:rsidRPr="00BA3D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законсервированным в 1995 году подземным рудником, на котором было добыто и переработано по гравитационно-флотационной технологии 2,5 тонны золота. Подготовленный в 2016 году «Технический проект реконструкции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Лысогорского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рудника» прошел утверждение ТКР ТПИ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Центрсибнедра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>. Объект находится на этапе подготовки к строительству и началу добычи.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D26">
        <w:rPr>
          <w:rFonts w:ascii="Times New Roman" w:hAnsi="Times New Roman" w:cs="Times New Roman"/>
          <w:bCs/>
          <w:sz w:val="24"/>
          <w:szCs w:val="24"/>
          <w:u w:val="single"/>
        </w:rPr>
        <w:t>Сейбинское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месторождение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относится к золото-кварцевому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малосульфидному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типу прожилково-вкрапленных руд в минерализованных зонах. На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госбалансе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числятся запасы золота категории С</w:t>
      </w:r>
      <w:r w:rsidRPr="00BA3D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- 3,1 т., при среднем содержании золота 2,7 г/т. По результатам проведенной в 2008-2012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разведки готовится отчет к утверждению в ФБУ «ГКЗ» запасов золота категории С</w:t>
      </w:r>
      <w:r w:rsidRPr="00BA3D26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– 2,5 т. и категории С</w:t>
      </w:r>
      <w:r w:rsidRPr="00BA3D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– 0,9 т, при среднем содержании золота 1,7 г/т. Подготовленный в 2012 году «Проект опытно-промышленной эксплуатации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Сейбинского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участка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Сейбинского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месторождения» прошел утверждение ТКР ТПИ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Центрсибнедра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. Месторождение вскрыто проведенными в 2014-2017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вскрышными и горно-подготовительными работами, в ходе которых попутно добытая руда, содержащая 64 кг золота, подготовлена к переработке методом КВ. Объект находится на этапе опытно-промышленной эксплуатации, защиты запасов с последующим составлением Технического проекта разработки.  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D26">
        <w:rPr>
          <w:rFonts w:ascii="Times New Roman" w:hAnsi="Times New Roman" w:cs="Times New Roman"/>
          <w:bCs/>
          <w:sz w:val="24"/>
          <w:szCs w:val="24"/>
          <w:u w:val="single"/>
        </w:rPr>
        <w:t>Кутурчинская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площадь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имеет потенциал выявления золоторудных месторождений следующих геолого-промышленных типов: 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а) золото-кварцевого жильного типа; 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Сухоложского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типа в черных сланцах; 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в) минерализованных зон вторичного обогащения в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корах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выветривания. </w:t>
      </w:r>
    </w:p>
    <w:p w:rsidR="00BA3D26" w:rsidRPr="00BA3D26" w:rsidRDefault="00BA3D26" w:rsidP="00811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>На площади размером 71 км</w:t>
      </w:r>
      <w:r w:rsidRPr="00BA3D2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оценены прогнозные ресурсы золота, составляющие: категория Р</w:t>
      </w:r>
      <w:r w:rsidRPr="00BA3D26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– 9,4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тн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>; категория Р</w:t>
      </w:r>
      <w:r w:rsidRPr="00BA3D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– 27,4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тн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>; категория Р</w:t>
      </w:r>
      <w:r w:rsidRPr="00BA3D26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– 57,8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тн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. По результатам проведенных в 2010-2012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поисково-оценочных работ по Ильинскому рудопроявлению подсчитаны запасы золота категории С</w:t>
      </w:r>
      <w:r w:rsidRPr="00BA3D2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– 4,3 т, при среднем содержании золота 3,4 г/т. Объект находится на этапе проведения геологоразведочных работ.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>Начиная с 2007 года ГЕО-СИСТЕМА инвестировала в финансирование</w:t>
      </w:r>
      <w:r w:rsidR="00C57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геологоразведочных работ, на выполнение проектирования, инженерных изысканий и технологических исследований на имеющихся объектах недропользования в Красноярском крае порядка 25 млн. $ 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US</w:t>
      </w:r>
      <w:r w:rsidRPr="00BA3D26">
        <w:rPr>
          <w:rFonts w:ascii="Times New Roman" w:hAnsi="Times New Roman" w:cs="Times New Roman"/>
          <w:bCs/>
          <w:sz w:val="24"/>
          <w:szCs w:val="24"/>
        </w:rPr>
        <w:t>.</w:t>
      </w:r>
      <w:r w:rsidR="00C57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bCs/>
          <w:sz w:val="24"/>
          <w:szCs w:val="24"/>
        </w:rPr>
        <w:t>С этой целью привлекались кредитные средства и проводились эмиссии с выпусками ценных бумаг (акций, векселей и т.д.), зарегистрированных РО РСФР 14.03.2007 г; 29.08.2007 г; 06.05.2008 г; 23.03.2010 г; 18.11.2011 г; 27.06.2013 г; 13.05.15 г.</w:t>
      </w:r>
      <w:r w:rsidR="00C57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bCs/>
          <w:sz w:val="24"/>
          <w:szCs w:val="24"/>
        </w:rPr>
        <w:t>Мажоритарным акционерном ГЕО-СИСТЕМЫ является менеджмент, а привлечение внешнего инвестора  становится все сложнее</w:t>
      </w:r>
      <w:r w:rsidR="00C57F70">
        <w:rPr>
          <w:rFonts w:ascii="Times New Roman" w:hAnsi="Times New Roman" w:cs="Times New Roman"/>
          <w:bCs/>
          <w:sz w:val="24"/>
          <w:szCs w:val="24"/>
        </w:rPr>
        <w:t>.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ГЕО-СИСТЕМА ищет новые способы привлечения инвестирования в освоение объектов недропользования и готова использовать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блокчейн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технологии посредством проведения 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ICO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. В последнее время в интернет-пространстве появилось несколько связанных с золотодобычей в России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блокчейн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-проектов: </w:t>
      </w:r>
    </w:p>
    <w:p w:rsidR="00BA3D26" w:rsidRPr="00C57F70" w:rsidRDefault="00C57F70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GOLDEN</w:t>
      </w:r>
      <w:r w:rsidRPr="00C5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C57F7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GOLDEN</w:t>
      </w:r>
      <w:r w:rsidRPr="00C5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ALLIANCE</w:t>
      </w:r>
      <w:r w:rsidRPr="00C57F7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GOLDEA</w:t>
      </w:r>
      <w:r w:rsidRPr="00C57F7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GOLDMINT</w:t>
      </w:r>
      <w:r w:rsidRPr="00C57F7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C5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Pr="00C57F7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отраслевая</w:t>
      </w:r>
      <w:r w:rsidRPr="00C5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принадлежность</w:t>
      </w:r>
      <w:r w:rsidRPr="00C5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5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последних</w:t>
      </w:r>
      <w:r w:rsidRPr="00C57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 непонятна</w:t>
      </w:r>
      <w:r w:rsidRPr="00C57F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7F70" w:rsidRPr="00C57F70" w:rsidRDefault="00C57F70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D26" w:rsidRPr="00BA3D26" w:rsidRDefault="00E54D5C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ОСНОВНЫЕ </w:t>
      </w:r>
      <w:r w:rsidR="00BA3D26" w:rsidRPr="00BA3D26">
        <w:rPr>
          <w:rFonts w:ascii="Times New Roman" w:hAnsi="Times New Roman" w:cs="Times New Roman"/>
          <w:sz w:val="24"/>
          <w:szCs w:val="24"/>
          <w:u w:val="single"/>
        </w:rPr>
        <w:t>ОПРЕДЕЛЕНИЯ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D5C">
        <w:rPr>
          <w:rFonts w:ascii="Times New Roman" w:hAnsi="Times New Roman" w:cs="Times New Roman"/>
          <w:b/>
          <w:bCs/>
          <w:sz w:val="24"/>
          <w:szCs w:val="24"/>
        </w:rPr>
        <w:t>Блокчейн</w:t>
      </w:r>
      <w:proofErr w:type="spellEnd"/>
      <w:r w:rsidRPr="00E54D5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E54D5C">
        <w:rPr>
          <w:rFonts w:ascii="Times New Roman" w:hAnsi="Times New Roman" w:cs="Times New Roman"/>
          <w:b/>
          <w:bCs/>
          <w:sz w:val="24"/>
          <w:szCs w:val="24"/>
          <w:lang w:val="en-US"/>
        </w:rPr>
        <w:t>Blockchain</w:t>
      </w:r>
      <w:proofErr w:type="spellEnd"/>
      <w:r w:rsidRPr="00E54D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A3D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3D26">
        <w:rPr>
          <w:rFonts w:ascii="Times New Roman" w:hAnsi="Times New Roman" w:cs="Times New Roman"/>
          <w:sz w:val="24"/>
          <w:szCs w:val="24"/>
        </w:rPr>
        <w:t xml:space="preserve">— выстроенная по определённым правилам непрерывная последовательная цепочка блоков, содержащих информацию. Технология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 представляет собой четко структурированную базу данных с определенными правилами построения цепочек транзакций и доступа к информации, которая исключает кражу данных, мошенничество, нарушение имущественных прав и т. д.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5C">
        <w:rPr>
          <w:rFonts w:ascii="Times New Roman" w:hAnsi="Times New Roman" w:cs="Times New Roman"/>
          <w:b/>
          <w:bCs/>
          <w:sz w:val="24"/>
          <w:szCs w:val="24"/>
          <w:lang w:val="en-US"/>
        </w:rPr>
        <w:t>Initial</w:t>
      </w:r>
      <w:r w:rsidRPr="00E54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D5C">
        <w:rPr>
          <w:rFonts w:ascii="Times New Roman" w:hAnsi="Times New Roman" w:cs="Times New Roman"/>
          <w:b/>
          <w:bCs/>
          <w:sz w:val="24"/>
          <w:szCs w:val="24"/>
          <w:lang w:val="en-US"/>
        </w:rPr>
        <w:t>Coin</w:t>
      </w:r>
      <w:r w:rsidRPr="00E54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D5C">
        <w:rPr>
          <w:rFonts w:ascii="Times New Roman" w:hAnsi="Times New Roman" w:cs="Times New Roman"/>
          <w:b/>
          <w:bCs/>
          <w:sz w:val="24"/>
          <w:szCs w:val="24"/>
          <w:lang w:val="en-US"/>
        </w:rPr>
        <w:t>Offerings</w:t>
      </w:r>
      <w:r w:rsidRPr="00E54D5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E54D5C">
        <w:rPr>
          <w:rFonts w:ascii="Times New Roman" w:hAnsi="Times New Roman" w:cs="Times New Roman"/>
          <w:b/>
          <w:bCs/>
          <w:sz w:val="24"/>
          <w:szCs w:val="24"/>
          <w:lang w:val="en-US"/>
        </w:rPr>
        <w:t>ICO</w:t>
      </w:r>
      <w:r w:rsidRPr="00E54D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sz w:val="24"/>
          <w:szCs w:val="24"/>
        </w:rPr>
        <w:t>— первичное публичное предложение монет (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) для привлечения капитала в проекты, в том числе в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 на ранних этапах развития, </w:t>
      </w:r>
      <w:r w:rsidRPr="00BA3D26">
        <w:rPr>
          <w:rFonts w:ascii="Times New Roman" w:hAnsi="Times New Roman" w:cs="Times New Roman"/>
          <w:sz w:val="24"/>
          <w:szCs w:val="24"/>
        </w:rPr>
        <w:lastRenderedPageBreak/>
        <w:t>благодаря которому они могут привлечь капитал от большого числа ранее не доступных им инвесторов, привлечь первых клиентов и сформировать сообщество вокруг проекта.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D5C">
        <w:rPr>
          <w:rFonts w:ascii="Times New Roman" w:hAnsi="Times New Roman" w:cs="Times New Roman"/>
          <w:b/>
          <w:bCs/>
          <w:sz w:val="24"/>
          <w:szCs w:val="24"/>
        </w:rPr>
        <w:t>Токен</w:t>
      </w:r>
      <w:proofErr w:type="spellEnd"/>
      <w:r w:rsidRPr="00E54D5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E54D5C">
        <w:rPr>
          <w:rFonts w:ascii="Times New Roman" w:hAnsi="Times New Roman" w:cs="Times New Roman"/>
          <w:b/>
          <w:bCs/>
          <w:sz w:val="24"/>
          <w:szCs w:val="24"/>
          <w:lang w:val="en-US"/>
        </w:rPr>
        <w:t>Token</w:t>
      </w:r>
      <w:r w:rsidRPr="00E54D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) </w:t>
      </w:r>
      <w:r w:rsidRPr="00BA3D26">
        <w:rPr>
          <w:rFonts w:ascii="Times New Roman" w:hAnsi="Times New Roman" w:cs="Times New Roman"/>
          <w:sz w:val="24"/>
          <w:szCs w:val="24"/>
        </w:rPr>
        <w:t>– это единица учета, которая используется для представления цифрового баланса в некотором активе.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5C">
        <w:rPr>
          <w:rFonts w:ascii="Times New Roman" w:hAnsi="Times New Roman" w:cs="Times New Roman"/>
          <w:b/>
          <w:bCs/>
          <w:sz w:val="24"/>
          <w:szCs w:val="24"/>
        </w:rPr>
        <w:t>Эфир (</w:t>
      </w:r>
      <w:proofErr w:type="spellStart"/>
      <w:r w:rsidRPr="00E54D5C">
        <w:rPr>
          <w:rFonts w:ascii="Times New Roman" w:hAnsi="Times New Roman" w:cs="Times New Roman"/>
          <w:b/>
          <w:bCs/>
          <w:sz w:val="24"/>
          <w:szCs w:val="24"/>
          <w:lang w:val="en-US"/>
        </w:rPr>
        <w:t>Ethereum</w:t>
      </w:r>
      <w:proofErr w:type="spellEnd"/>
      <w:r w:rsidRPr="00E54D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sz w:val="24"/>
          <w:szCs w:val="24"/>
        </w:rPr>
        <w:t xml:space="preserve">— децентрализованная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-платформа, необходимая для создания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 проекта и проведения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краудфандинговых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 кампаний</w:t>
      </w:r>
      <w:r w:rsidR="00E54D5C">
        <w:rPr>
          <w:rFonts w:ascii="Times New Roman" w:hAnsi="Times New Roman" w:cs="Times New Roman"/>
          <w:sz w:val="24"/>
          <w:szCs w:val="24"/>
        </w:rPr>
        <w:t>, т.е. без любого шанса мошенничества, цензуры или сторонней интерференции</w:t>
      </w:r>
      <w:r w:rsidRPr="00BA3D26">
        <w:rPr>
          <w:rFonts w:ascii="Times New Roman" w:hAnsi="Times New Roman" w:cs="Times New Roman"/>
          <w:sz w:val="24"/>
          <w:szCs w:val="24"/>
        </w:rPr>
        <w:t>.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D5C">
        <w:rPr>
          <w:rFonts w:ascii="Times New Roman" w:hAnsi="Times New Roman" w:cs="Times New Roman"/>
          <w:b/>
          <w:bCs/>
          <w:sz w:val="24"/>
          <w:szCs w:val="24"/>
        </w:rPr>
        <w:t>Криптоэкономика</w:t>
      </w:r>
      <w:proofErr w:type="spellEnd"/>
      <w:r w:rsidRPr="00E54D5C">
        <w:rPr>
          <w:rFonts w:ascii="Times New Roman" w:hAnsi="Times New Roman" w:cs="Times New Roman"/>
          <w:b/>
          <w:bCs/>
          <w:sz w:val="24"/>
          <w:szCs w:val="24"/>
        </w:rPr>
        <w:t xml:space="preserve"> (С</w:t>
      </w:r>
      <w:proofErr w:type="spellStart"/>
      <w:r w:rsidRPr="00E54D5C">
        <w:rPr>
          <w:rFonts w:ascii="Times New Roman" w:hAnsi="Times New Roman" w:cs="Times New Roman"/>
          <w:b/>
          <w:bCs/>
          <w:sz w:val="24"/>
          <w:szCs w:val="24"/>
          <w:lang w:val="en-US"/>
        </w:rPr>
        <w:t>ryptoeconomy</w:t>
      </w:r>
      <w:proofErr w:type="spellEnd"/>
      <w:r w:rsidRPr="00E54D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A3D26">
        <w:rPr>
          <w:rFonts w:ascii="Times New Roman" w:hAnsi="Times New Roman" w:cs="Times New Roman"/>
          <w:sz w:val="24"/>
          <w:szCs w:val="24"/>
        </w:rPr>
        <w:t xml:space="preserve"> — это социально-экономические отношения в цифровом обществе, которые сфокусированы на взаимодействиях с использованием сетевых протоколов. Основными направлениями, которые входят в область изучения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криптоэкономики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, являются: криптографические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токены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), цифровые активы, децентрализованные системы социального обеспечения и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, децентрализованные системы управления,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самоисполняющиеся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 «умные» контракты, рынки коммерции для вычислительных ресурсов, онлайн-системы доверия и системы репутации, алгоритмы консенсуса и т.д.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5C">
        <w:rPr>
          <w:rFonts w:ascii="Times New Roman" w:hAnsi="Times New Roman" w:cs="Times New Roman"/>
          <w:b/>
          <w:bCs/>
          <w:sz w:val="24"/>
          <w:szCs w:val="24"/>
        </w:rPr>
        <w:t>GOLD</w:t>
      </w:r>
      <w:r w:rsidRPr="00E54D5C">
        <w:rPr>
          <w:rFonts w:ascii="Times New Roman" w:hAnsi="Times New Roman" w:cs="Times New Roman"/>
          <w:b/>
          <w:bCs/>
          <w:sz w:val="24"/>
          <w:szCs w:val="24"/>
          <w:lang w:val="en-US"/>
        </w:rPr>
        <w:t>EN</w:t>
      </w:r>
      <w:r w:rsidRPr="00E54D5C">
        <w:rPr>
          <w:rFonts w:ascii="Times New Roman" w:hAnsi="Times New Roman" w:cs="Times New Roman"/>
          <w:b/>
          <w:bCs/>
          <w:sz w:val="24"/>
          <w:szCs w:val="24"/>
        </w:rPr>
        <w:t xml:space="preserve"> RESOURCES (</w:t>
      </w:r>
      <w:r w:rsidRPr="00E54D5C">
        <w:rPr>
          <w:rFonts w:ascii="Times New Roman" w:hAnsi="Times New Roman" w:cs="Times New Roman"/>
          <w:b/>
          <w:bCs/>
          <w:sz w:val="24"/>
          <w:szCs w:val="24"/>
          <w:lang w:val="en-US"/>
        </w:rPr>
        <w:t>GR</w:t>
      </w:r>
      <w:r w:rsidRPr="00E54D5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sz w:val="24"/>
          <w:szCs w:val="24"/>
        </w:rPr>
        <w:t xml:space="preserve">– компания специального назначения, которая будет зарегистрирована в благоприятной для </w:t>
      </w:r>
      <w:r w:rsidRPr="00BA3D26">
        <w:rPr>
          <w:rFonts w:ascii="Times New Roman" w:hAnsi="Times New Roman" w:cs="Times New Roman"/>
          <w:sz w:val="24"/>
          <w:szCs w:val="24"/>
          <w:lang w:val="en-US"/>
        </w:rPr>
        <w:t>ICO</w:t>
      </w:r>
      <w:r w:rsidRPr="00BA3D26">
        <w:rPr>
          <w:rFonts w:ascii="Times New Roman" w:hAnsi="Times New Roman" w:cs="Times New Roman"/>
          <w:sz w:val="24"/>
          <w:szCs w:val="24"/>
        </w:rPr>
        <w:t xml:space="preserve"> юрисдикции с целью  инвестирования в компанию ГЕО-СИСТЕМА. </w:t>
      </w:r>
    </w:p>
    <w:p w:rsidR="00BA3D26" w:rsidRPr="00BA3D26" w:rsidRDefault="00BA3D26" w:rsidP="00E54D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5C">
        <w:rPr>
          <w:rFonts w:ascii="Times New Roman" w:hAnsi="Times New Roman" w:cs="Times New Roman"/>
          <w:b/>
          <w:bCs/>
          <w:sz w:val="24"/>
          <w:szCs w:val="24"/>
          <w:lang w:val="en-US"/>
        </w:rPr>
        <w:t>GDR</w:t>
      </w:r>
      <w:r w:rsidRPr="00BA3D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 проекта, который предоставляет право на получение прибыли от реализации золота в соответствии с условиями оферты </w:t>
      </w:r>
      <w:r w:rsidRPr="00BA3D26">
        <w:rPr>
          <w:rFonts w:ascii="Times New Roman" w:hAnsi="Times New Roman" w:cs="Times New Roman"/>
          <w:sz w:val="24"/>
          <w:szCs w:val="24"/>
          <w:lang w:val="en-US"/>
        </w:rPr>
        <w:t>ICO</w:t>
      </w:r>
      <w:r w:rsidRPr="00BA3D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sz w:val="24"/>
          <w:szCs w:val="24"/>
          <w:lang w:val="en-US"/>
        </w:rPr>
        <w:t>GDR</w:t>
      </w:r>
      <w:r w:rsidRPr="00BA3D26">
        <w:rPr>
          <w:rFonts w:ascii="Times New Roman" w:hAnsi="Times New Roman" w:cs="Times New Roman"/>
          <w:sz w:val="24"/>
          <w:szCs w:val="24"/>
        </w:rPr>
        <w:t xml:space="preserve"> производится на </w:t>
      </w:r>
      <w:proofErr w:type="spellStart"/>
      <w:r w:rsidRPr="00BA3D26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 xml:space="preserve">-платформе </w:t>
      </w:r>
      <w:proofErr w:type="spellStart"/>
      <w:r w:rsidRPr="00BA3D26">
        <w:rPr>
          <w:rFonts w:ascii="Times New Roman" w:hAnsi="Times New Roman" w:cs="Times New Roman"/>
          <w:sz w:val="24"/>
          <w:szCs w:val="24"/>
          <w:lang w:val="en-US"/>
        </w:rPr>
        <w:t>Ethereum</w:t>
      </w:r>
      <w:proofErr w:type="spellEnd"/>
      <w:r w:rsidRPr="00BA3D26">
        <w:rPr>
          <w:rFonts w:ascii="Times New Roman" w:hAnsi="Times New Roman" w:cs="Times New Roman"/>
          <w:sz w:val="24"/>
          <w:szCs w:val="24"/>
        </w:rPr>
        <w:t>.</w:t>
      </w:r>
    </w:p>
    <w:p w:rsidR="00BA3D26" w:rsidRPr="00BA3D26" w:rsidRDefault="00BA3D26" w:rsidP="00BA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С 27 февраля 2018 года начато 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Pre</w:t>
      </w:r>
      <w:r w:rsidRPr="00BA3D26">
        <w:rPr>
          <w:rFonts w:ascii="Times New Roman" w:hAnsi="Times New Roman" w:cs="Times New Roman"/>
          <w:bCs/>
          <w:sz w:val="24"/>
          <w:szCs w:val="24"/>
        </w:rPr>
        <w:t>-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ICO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GOLD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RESOURCES (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GR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), для этого в течение 2017 года ГЕО-СИСТЕМОЙ были предприняты следующие меры: </w:t>
      </w:r>
    </w:p>
    <w:p w:rsidR="00000000" w:rsidRPr="00BA3D26" w:rsidRDefault="00141853" w:rsidP="00BA3D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sz w:val="24"/>
          <w:szCs w:val="24"/>
        </w:rPr>
        <w:t xml:space="preserve">На децентрализованной онлайн-платформе </w:t>
      </w:r>
      <w:r w:rsidRPr="00BA3D26">
        <w:rPr>
          <w:rFonts w:ascii="Times New Roman" w:hAnsi="Times New Roman" w:cs="Times New Roman"/>
          <w:i/>
          <w:iCs/>
          <w:sz w:val="24"/>
          <w:szCs w:val="24"/>
        </w:rPr>
        <w:t>Эфир</w:t>
      </w:r>
      <w:r w:rsidRPr="00BA3D26">
        <w:rPr>
          <w:rFonts w:ascii="Times New Roman" w:hAnsi="Times New Roman" w:cs="Times New Roman"/>
          <w:sz w:val="24"/>
          <w:szCs w:val="24"/>
        </w:rPr>
        <w:t xml:space="preserve"> (</w:t>
      </w:r>
      <w:r w:rsidRPr="00BA3D2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Start"/>
      <w:r w:rsidRPr="00BA3D2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thereum</w:t>
      </w:r>
      <w:proofErr w:type="spellEnd"/>
      <w:r w:rsidRPr="00BA3D2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3D26">
        <w:rPr>
          <w:rFonts w:ascii="Times New Roman" w:hAnsi="Times New Roman" w:cs="Times New Roman"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создан </w:t>
      </w:r>
      <w:proofErr w:type="spellStart"/>
      <w:r w:rsidRPr="00BA3D26">
        <w:rPr>
          <w:rFonts w:ascii="Times New Roman" w:hAnsi="Times New Roman" w:cs="Times New Roman"/>
          <w:bCs/>
          <w:i/>
          <w:iCs/>
          <w:sz w:val="24"/>
          <w:szCs w:val="24"/>
        </w:rPr>
        <w:t>Блокчейн</w:t>
      </w:r>
      <w:proofErr w:type="spellEnd"/>
      <w:r w:rsidRPr="00BA3D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proofErr w:type="spellStart"/>
      <w:r w:rsidRPr="00BA3D2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blockchain</w:t>
      </w:r>
      <w:proofErr w:type="spellEnd"/>
      <w:r w:rsidRPr="00BA3D2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золотодобывающей компании GOLD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RESOURCES (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GR</w:t>
      </w:r>
      <w:r w:rsidRPr="00BA3D26">
        <w:rPr>
          <w:rFonts w:ascii="Times New Roman" w:hAnsi="Times New Roman" w:cs="Times New Roman"/>
          <w:sz w:val="24"/>
          <w:szCs w:val="24"/>
        </w:rPr>
        <w:t>), которая регистрируется в благоп</w:t>
      </w:r>
      <w:r w:rsidRPr="00BA3D26">
        <w:rPr>
          <w:rFonts w:ascii="Times New Roman" w:hAnsi="Times New Roman" w:cs="Times New Roman"/>
          <w:sz w:val="24"/>
          <w:szCs w:val="24"/>
        </w:rPr>
        <w:t xml:space="preserve">риятной для </w:t>
      </w:r>
      <w:r w:rsidRPr="00BA3D26">
        <w:rPr>
          <w:rFonts w:ascii="Times New Roman" w:hAnsi="Times New Roman" w:cs="Times New Roman"/>
          <w:sz w:val="24"/>
          <w:szCs w:val="24"/>
          <w:lang w:val="en-US"/>
        </w:rPr>
        <w:t>ICO</w:t>
      </w:r>
      <w:r w:rsidRPr="00BA3D26">
        <w:rPr>
          <w:rFonts w:ascii="Times New Roman" w:hAnsi="Times New Roman" w:cs="Times New Roman"/>
          <w:sz w:val="24"/>
          <w:szCs w:val="24"/>
        </w:rPr>
        <w:t xml:space="preserve"> юрисдикции, позволяет инвесторам выгодно покупать обеспеченную золотом </w:t>
      </w:r>
      <w:proofErr w:type="spellStart"/>
      <w:r w:rsidRPr="00BA3D26">
        <w:rPr>
          <w:rFonts w:ascii="Times New Roman" w:hAnsi="Times New Roman" w:cs="Times New Roman"/>
          <w:bCs/>
          <w:sz w:val="24"/>
          <w:szCs w:val="24"/>
        </w:rPr>
        <w:t>криптовалюту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GDR</w:t>
      </w:r>
      <w:r w:rsidRPr="00BA3D2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000000" w:rsidRPr="00BA3D26" w:rsidRDefault="00141853" w:rsidP="00BA3D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>Создан специальный сайт</w:t>
      </w:r>
    </w:p>
    <w:p w:rsidR="00000000" w:rsidRPr="00BA3D26" w:rsidRDefault="00141853" w:rsidP="00BA3D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 xml:space="preserve">Разработано </w:t>
      </w:r>
      <w:r w:rsidRPr="00BA3D26">
        <w:rPr>
          <w:rFonts w:ascii="Times New Roman" w:hAnsi="Times New Roman" w:cs="Times New Roman"/>
          <w:bCs/>
          <w:sz w:val="24"/>
          <w:szCs w:val="24"/>
        </w:rPr>
        <w:t>резюме проекта (</w:t>
      </w:r>
      <w:r w:rsidRPr="00BA3D2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Whitepaper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000000" w:rsidRPr="00BA3D26" w:rsidRDefault="00141853" w:rsidP="00BA3D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>Разработана дорожная карта (</w:t>
      </w:r>
      <w:r w:rsidRPr="00BA3D2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Roadmap</w:t>
      </w:r>
      <w:r w:rsidRPr="00BA3D26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000000" w:rsidRPr="00E60B04" w:rsidRDefault="00141853" w:rsidP="00BA3D2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bCs/>
          <w:sz w:val="24"/>
          <w:szCs w:val="24"/>
        </w:rPr>
        <w:t>Разработано визуализированное резюме проекта (</w:t>
      </w:r>
      <w:proofErr w:type="spellStart"/>
      <w:r w:rsidRPr="00BA3D2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OnePaper</w:t>
      </w:r>
      <w:proofErr w:type="spellEnd"/>
      <w:r w:rsidRPr="00BA3D26">
        <w:rPr>
          <w:rFonts w:ascii="Times New Roman" w:hAnsi="Times New Roman" w:cs="Times New Roman"/>
          <w:bCs/>
          <w:sz w:val="24"/>
          <w:szCs w:val="24"/>
        </w:rPr>
        <w:t>)</w:t>
      </w:r>
      <w:r w:rsidR="00E60B04">
        <w:rPr>
          <w:rFonts w:ascii="Times New Roman" w:hAnsi="Times New Roman" w:cs="Times New Roman"/>
          <w:bCs/>
          <w:sz w:val="24"/>
          <w:szCs w:val="24"/>
        </w:rPr>
        <w:t>.</w:t>
      </w:r>
    </w:p>
    <w:p w:rsidR="00E60B04" w:rsidRDefault="00E60B04" w:rsidP="00E60B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0B04" w:rsidRPr="00E60B04" w:rsidRDefault="00E60B04" w:rsidP="00E60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Поцедуры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использвания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блокчейн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технологий для привлечения инвесторов ГЕО-СИСТЕМОЙ еще не закончены и о их результатах будет дол</w:t>
      </w:r>
      <w:r w:rsidR="0014185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жено </w:t>
      </w:r>
      <w:r w:rsidR="00141853">
        <w:rPr>
          <w:rFonts w:ascii="Times New Roman" w:hAnsi="Times New Roman" w:cs="Times New Roman"/>
          <w:bCs/>
          <w:sz w:val="24"/>
          <w:szCs w:val="24"/>
        </w:rPr>
        <w:t>на следующем форуме «МИНГЕО Сибирь»</w:t>
      </w:r>
      <w:bookmarkStart w:id="0" w:name="_GoBack"/>
      <w:bookmarkEnd w:id="0"/>
      <w:r w:rsidR="0014185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E60B04" w:rsidRPr="00E6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E1E"/>
    <w:multiLevelType w:val="hybridMultilevel"/>
    <w:tmpl w:val="77103B26"/>
    <w:lvl w:ilvl="0" w:tplc="85522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8F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20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6E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4D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C6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2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6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EB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2972BF"/>
    <w:multiLevelType w:val="hybridMultilevel"/>
    <w:tmpl w:val="9982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54B0"/>
    <w:multiLevelType w:val="hybridMultilevel"/>
    <w:tmpl w:val="6A6E933E"/>
    <w:lvl w:ilvl="0" w:tplc="30DE1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CC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6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C0A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C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0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C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721195"/>
    <w:multiLevelType w:val="hybridMultilevel"/>
    <w:tmpl w:val="520A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1239"/>
    <w:multiLevelType w:val="hybridMultilevel"/>
    <w:tmpl w:val="8A24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A659C"/>
    <w:multiLevelType w:val="hybridMultilevel"/>
    <w:tmpl w:val="C46E4998"/>
    <w:lvl w:ilvl="0" w:tplc="DFD45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22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09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67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C8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0C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4D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6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7F0DAB"/>
    <w:multiLevelType w:val="hybridMultilevel"/>
    <w:tmpl w:val="0656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C7"/>
    <w:rsid w:val="00043AAA"/>
    <w:rsid w:val="00047917"/>
    <w:rsid w:val="00064F67"/>
    <w:rsid w:val="000D629E"/>
    <w:rsid w:val="000F20F5"/>
    <w:rsid w:val="000F5368"/>
    <w:rsid w:val="00104881"/>
    <w:rsid w:val="00141853"/>
    <w:rsid w:val="0014228B"/>
    <w:rsid w:val="001913AB"/>
    <w:rsid w:val="001F1E97"/>
    <w:rsid w:val="002008C4"/>
    <w:rsid w:val="00207308"/>
    <w:rsid w:val="002102CC"/>
    <w:rsid w:val="00210F74"/>
    <w:rsid w:val="00241AC8"/>
    <w:rsid w:val="002645E1"/>
    <w:rsid w:val="002F735F"/>
    <w:rsid w:val="00301E9E"/>
    <w:rsid w:val="003C56F9"/>
    <w:rsid w:val="003D3942"/>
    <w:rsid w:val="003F1BF2"/>
    <w:rsid w:val="003F5765"/>
    <w:rsid w:val="004273BE"/>
    <w:rsid w:val="004547B2"/>
    <w:rsid w:val="004F193D"/>
    <w:rsid w:val="004F4256"/>
    <w:rsid w:val="00511964"/>
    <w:rsid w:val="00513086"/>
    <w:rsid w:val="00516C09"/>
    <w:rsid w:val="005E37B7"/>
    <w:rsid w:val="00601607"/>
    <w:rsid w:val="00630FF5"/>
    <w:rsid w:val="00663F7C"/>
    <w:rsid w:val="007003F4"/>
    <w:rsid w:val="00713BB1"/>
    <w:rsid w:val="007213C4"/>
    <w:rsid w:val="00721A20"/>
    <w:rsid w:val="007220C5"/>
    <w:rsid w:val="00726CF1"/>
    <w:rsid w:val="007437AB"/>
    <w:rsid w:val="0075560E"/>
    <w:rsid w:val="007B0C3B"/>
    <w:rsid w:val="007B722C"/>
    <w:rsid w:val="007E6CF9"/>
    <w:rsid w:val="00811CCA"/>
    <w:rsid w:val="00840164"/>
    <w:rsid w:val="00864E7D"/>
    <w:rsid w:val="00874AC0"/>
    <w:rsid w:val="0087678C"/>
    <w:rsid w:val="00883E22"/>
    <w:rsid w:val="00885323"/>
    <w:rsid w:val="00892FBC"/>
    <w:rsid w:val="008E1BDB"/>
    <w:rsid w:val="008F0448"/>
    <w:rsid w:val="009337A5"/>
    <w:rsid w:val="009A6668"/>
    <w:rsid w:val="009C4809"/>
    <w:rsid w:val="009D0FC0"/>
    <w:rsid w:val="009F2CD7"/>
    <w:rsid w:val="00A109BA"/>
    <w:rsid w:val="00A21EA9"/>
    <w:rsid w:val="00A40222"/>
    <w:rsid w:val="00A41560"/>
    <w:rsid w:val="00AA6855"/>
    <w:rsid w:val="00B71496"/>
    <w:rsid w:val="00B92DAD"/>
    <w:rsid w:val="00BA3D26"/>
    <w:rsid w:val="00BC021D"/>
    <w:rsid w:val="00BC39A2"/>
    <w:rsid w:val="00C053F2"/>
    <w:rsid w:val="00C15484"/>
    <w:rsid w:val="00C316AD"/>
    <w:rsid w:val="00C43FC7"/>
    <w:rsid w:val="00C57F70"/>
    <w:rsid w:val="00CC147B"/>
    <w:rsid w:val="00CD7AF7"/>
    <w:rsid w:val="00D01AD2"/>
    <w:rsid w:val="00D14965"/>
    <w:rsid w:val="00D40262"/>
    <w:rsid w:val="00D90353"/>
    <w:rsid w:val="00DA6922"/>
    <w:rsid w:val="00E24115"/>
    <w:rsid w:val="00E320DA"/>
    <w:rsid w:val="00E54D5C"/>
    <w:rsid w:val="00E60B04"/>
    <w:rsid w:val="00E64773"/>
    <w:rsid w:val="00ED06DD"/>
    <w:rsid w:val="00EE28BE"/>
    <w:rsid w:val="00EE4589"/>
    <w:rsid w:val="00EF778F"/>
    <w:rsid w:val="00FA53A0"/>
    <w:rsid w:val="00FA59D7"/>
    <w:rsid w:val="00FE4C17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6F9"/>
    <w:rPr>
      <w:b/>
      <w:bCs/>
    </w:rPr>
  </w:style>
  <w:style w:type="paragraph" w:styleId="a4">
    <w:name w:val="List Paragraph"/>
    <w:basedOn w:val="a"/>
    <w:uiPriority w:val="34"/>
    <w:qFormat/>
    <w:rsid w:val="00D90353"/>
    <w:pPr>
      <w:ind w:left="720"/>
      <w:contextualSpacing/>
    </w:pPr>
  </w:style>
  <w:style w:type="character" w:customStyle="1" w:styleId="2">
    <w:name w:val="Основной текст (2)"/>
    <w:basedOn w:val="a0"/>
    <w:rsid w:val="001048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6F9"/>
    <w:rPr>
      <w:b/>
      <w:bCs/>
    </w:rPr>
  </w:style>
  <w:style w:type="paragraph" w:styleId="a4">
    <w:name w:val="List Paragraph"/>
    <w:basedOn w:val="a"/>
    <w:uiPriority w:val="34"/>
    <w:qFormat/>
    <w:rsid w:val="00D90353"/>
    <w:pPr>
      <w:ind w:left="720"/>
      <w:contextualSpacing/>
    </w:pPr>
  </w:style>
  <w:style w:type="character" w:customStyle="1" w:styleId="2">
    <w:name w:val="Основной текст (2)"/>
    <w:basedOn w:val="a0"/>
    <w:rsid w:val="001048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Рогальский Валерий Викторович</dc:creator>
  <cp:lastModifiedBy>Рогальский Валерий Викторович</cp:lastModifiedBy>
  <cp:revision>23</cp:revision>
  <dcterms:created xsi:type="dcterms:W3CDTF">2018-05-15T07:56:00Z</dcterms:created>
  <dcterms:modified xsi:type="dcterms:W3CDTF">2018-05-18T09:53:00Z</dcterms:modified>
</cp:coreProperties>
</file>